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45" w:rsidRDefault="00BE5F30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46"/>
        <w:gridCol w:w="3135"/>
        <w:gridCol w:w="3822"/>
      </w:tblGrid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>
              <w:t>Филозофија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</w:t>
            </w:r>
            <w:r>
              <w:t>Педагошка пракса 1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Pr="008D710D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r w:rsidR="00EA0CFE">
              <w:t xml:space="preserve"> </w:t>
            </w:r>
            <w:r w:rsidR="008D710D">
              <w:t>Иван Николић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ОБ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3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 xml:space="preserve"> Уписан IV семестар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166D45" w:rsidRPr="00287855" w:rsidRDefault="00BE5F30" w:rsidP="00287855">
            <w:pPr>
              <w:pStyle w:val="normal0"/>
              <w:tabs>
                <w:tab w:val="left" w:pos="567"/>
              </w:tabs>
              <w:spacing w:after="60"/>
              <w:ind w:firstLine="567"/>
              <w:jc w:val="both"/>
            </w:pPr>
            <w:r w:rsidRPr="00287855">
              <w:t>Циљ</w:t>
            </w:r>
            <w:r w:rsidRPr="00287855">
              <w:rPr>
                <w:b/>
              </w:rPr>
              <w:t xml:space="preserve"> </w:t>
            </w:r>
            <w:r w:rsidRPr="00287855">
              <w:rPr>
                <w:i/>
              </w:rPr>
              <w:t>Педагошке праксе 1</w:t>
            </w:r>
            <w:r w:rsidRPr="00287855">
              <w:t xml:space="preserve"> је да студенти упознају </w:t>
            </w:r>
            <w:r w:rsidR="00EA0CFE" w:rsidRPr="00287855">
              <w:t xml:space="preserve">начин израде годишњег плана рада из предмета </w:t>
            </w:r>
            <w:r w:rsidR="00444076" w:rsidRPr="00287855">
              <w:t xml:space="preserve">Филозофија за </w:t>
            </w:r>
            <w:r w:rsidR="0084365C" w:rsidRPr="00287855">
              <w:t xml:space="preserve">трећи разред гимназије, основну структуру реализације неких од наставних јединица, </w:t>
            </w:r>
            <w:r w:rsidR="008736E7" w:rsidRPr="00287855">
              <w:t>специфичности метода наставног процеса за овај предмет, неке од облика успостављања дисциплине и начине оцењивања и вредновања знања ученика из овог предмета.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Pr="00287855" w:rsidRDefault="00BE5F30">
            <w:pPr>
              <w:pStyle w:val="normal0"/>
              <w:tabs>
                <w:tab w:val="left" w:pos="567"/>
              </w:tabs>
              <w:spacing w:after="60"/>
            </w:pPr>
            <w:r w:rsidRPr="00287855">
              <w:rPr>
                <w:b/>
              </w:rPr>
              <w:t xml:space="preserve">Исход предмета </w:t>
            </w:r>
          </w:p>
          <w:p w:rsidR="00166D45" w:rsidRPr="00287855" w:rsidRDefault="00BE5F30">
            <w:pPr>
              <w:pStyle w:val="normal0"/>
              <w:tabs>
                <w:tab w:val="left" w:pos="567"/>
              </w:tabs>
              <w:spacing w:after="60"/>
              <w:rPr>
                <w:lang/>
              </w:rPr>
            </w:pPr>
            <w:r w:rsidRPr="00287855">
              <w:t>- студент ће</w:t>
            </w:r>
            <w:r w:rsidR="0084365C" w:rsidRPr="00287855">
              <w:t xml:space="preserve"> стећи основна знања о изради годишњег плана рада из предмета Филозофија за трећи разред гимназија</w:t>
            </w:r>
            <w:r w:rsidR="000E72A3" w:rsidRPr="00287855">
              <w:rPr>
                <w:lang/>
              </w:rPr>
              <w:t>;</w:t>
            </w:r>
          </w:p>
          <w:p w:rsidR="00166D45" w:rsidRPr="00287855" w:rsidRDefault="0084365C">
            <w:pPr>
              <w:pStyle w:val="normal0"/>
              <w:tabs>
                <w:tab w:val="left" w:pos="567"/>
              </w:tabs>
              <w:spacing w:after="60"/>
              <w:rPr>
                <w:lang/>
              </w:rPr>
            </w:pPr>
            <w:r w:rsidRPr="00287855">
              <w:t>- студент ће разумети структуру организовања часа</w:t>
            </w:r>
            <w:r w:rsidR="00AA452F" w:rsidRPr="00287855">
              <w:t xml:space="preserve"> и</w:t>
            </w:r>
            <w:r w:rsidRPr="00287855">
              <w:t xml:space="preserve"> стећи увид у реализацију неких од наставних јединица</w:t>
            </w:r>
            <w:r w:rsidR="000E72A3" w:rsidRPr="00287855">
              <w:rPr>
                <w:lang/>
              </w:rPr>
              <w:t>;</w:t>
            </w:r>
          </w:p>
          <w:p w:rsidR="00166D45" w:rsidRPr="00287855" w:rsidRDefault="00BE5F30">
            <w:pPr>
              <w:pStyle w:val="normal0"/>
              <w:tabs>
                <w:tab w:val="left" w:pos="567"/>
              </w:tabs>
              <w:spacing w:after="60"/>
              <w:rPr>
                <w:lang/>
              </w:rPr>
            </w:pPr>
            <w:r w:rsidRPr="00287855">
              <w:t xml:space="preserve">- студент ће стећи општа знања о </w:t>
            </w:r>
            <w:r w:rsidR="00AA452F" w:rsidRPr="00287855">
              <w:t>начинима успостављања дисциплине у учионици и вредн</w:t>
            </w:r>
            <w:r w:rsidR="000E72A3" w:rsidRPr="00287855">
              <w:t>овању и оцењивању знања ученика</w:t>
            </w:r>
            <w:r w:rsidR="000E72A3" w:rsidRPr="00287855">
              <w:rPr>
                <w:lang/>
              </w:rPr>
              <w:t xml:space="preserve"> и</w:t>
            </w:r>
          </w:p>
          <w:p w:rsidR="00BF7E6C" w:rsidRPr="000E72A3" w:rsidRDefault="00BF7E6C">
            <w:pPr>
              <w:pStyle w:val="normal0"/>
              <w:tabs>
                <w:tab w:val="left" w:pos="567"/>
              </w:tabs>
              <w:spacing w:after="60"/>
              <w:rPr>
                <w:lang/>
              </w:rPr>
            </w:pPr>
            <w:r w:rsidRPr="00287855">
              <w:t xml:space="preserve">- студент ће бити упознат са специфичностима приступа у настави Филозофије за трећи разред </w:t>
            </w:r>
            <w:r w:rsidR="0042466E" w:rsidRPr="00287855">
              <w:t>гимназије</w:t>
            </w:r>
            <w:r w:rsidR="000E72A3" w:rsidRPr="00287855">
              <w:rPr>
                <w:lang/>
              </w:rPr>
              <w:t>.</w:t>
            </w:r>
          </w:p>
        </w:tc>
      </w:tr>
      <w:tr w:rsidR="00166D45" w:rsidTr="00BF7E6C">
        <w:trPr>
          <w:trHeight w:val="2355"/>
          <w:jc w:val="center"/>
        </w:trPr>
        <w:tc>
          <w:tcPr>
            <w:tcW w:w="10103" w:type="dxa"/>
            <w:gridSpan w:val="3"/>
            <w:tcBorders>
              <w:bottom w:val="single" w:sz="4" w:space="0" w:color="auto"/>
            </w:tcBorders>
            <w:vAlign w:val="center"/>
          </w:tcPr>
          <w:p w:rsidR="00166D45" w:rsidRPr="00287855" w:rsidRDefault="00BE5F30">
            <w:pPr>
              <w:pStyle w:val="normal0"/>
              <w:tabs>
                <w:tab w:val="left" w:pos="567"/>
              </w:tabs>
              <w:spacing w:after="60"/>
              <w:rPr>
                <w:lang/>
              </w:rPr>
            </w:pPr>
            <w:r>
              <w:rPr>
                <w:b/>
              </w:rPr>
              <w:t>Садржај предмета</w:t>
            </w:r>
          </w:p>
          <w:p w:rsidR="00287855" w:rsidRDefault="00287855" w:rsidP="00287855">
            <w:pPr>
              <w:pStyle w:val="normal0"/>
              <w:ind w:firstLine="720"/>
              <w:jc w:val="both"/>
              <w:rPr>
                <w:lang/>
              </w:rPr>
            </w:pPr>
          </w:p>
          <w:p w:rsidR="0059105C" w:rsidRPr="00287855" w:rsidRDefault="000E72A3" w:rsidP="00287855">
            <w:pPr>
              <w:pStyle w:val="normal0"/>
              <w:ind w:firstLine="720"/>
              <w:jc w:val="both"/>
            </w:pPr>
            <w:r w:rsidRPr="00287855">
              <w:rPr>
                <w:lang/>
              </w:rPr>
              <w:t>Садржајем курса предвиђено је да се п</w:t>
            </w:r>
            <w:r w:rsidRPr="00287855">
              <w:t xml:space="preserve">ракса </w:t>
            </w:r>
            <w:r w:rsidR="00EC2574" w:rsidRPr="00287855">
              <w:t xml:space="preserve">обавља у Гимназији. </w:t>
            </w:r>
            <w:r w:rsidRPr="00287855">
              <w:t>П</w:t>
            </w:r>
            <w:r w:rsidRPr="00287855">
              <w:rPr>
                <w:lang/>
              </w:rPr>
              <w:t>едагошка пракса</w:t>
            </w:r>
            <w:r w:rsidR="00EC2574" w:rsidRPr="00287855">
              <w:t xml:space="preserve"> се реализује кроз праћење и посматрање образовно-васпитне активности из пр</w:t>
            </w:r>
            <w:r w:rsidRPr="00287855">
              <w:t>едмета</w:t>
            </w:r>
            <w:r w:rsidRPr="00287855">
              <w:rPr>
                <w:lang/>
              </w:rPr>
              <w:t xml:space="preserve"> </w:t>
            </w:r>
            <w:r w:rsidR="00EC2574" w:rsidRPr="00287855">
              <w:t>Филозофија за тр</w:t>
            </w:r>
            <w:r w:rsidR="00B4750B" w:rsidRPr="00287855">
              <w:t>ећи разред гимназије</w:t>
            </w:r>
            <w:r w:rsidR="00B4750B" w:rsidRPr="00287855">
              <w:rPr>
                <w:lang/>
              </w:rPr>
              <w:t xml:space="preserve"> и </w:t>
            </w:r>
            <w:r w:rsidR="00EC2574" w:rsidRPr="00287855">
              <w:t xml:space="preserve">одвија </w:t>
            </w:r>
            <w:r w:rsidR="00B4750B" w:rsidRPr="00287855">
              <w:rPr>
                <w:lang/>
              </w:rPr>
              <w:t xml:space="preserve">се </w:t>
            </w:r>
            <w:r w:rsidR="00EC2574" w:rsidRPr="00287855">
              <w:t>под надзором предметног наставника из Гимназије. Пракса обухват</w:t>
            </w:r>
            <w:r w:rsidR="0059105C" w:rsidRPr="00287855">
              <w:t xml:space="preserve">а и консултације са предметним наставником, као и писање извештаја о обављеној пракси. Педагошка пракса 1 омогућава студентима да </w:t>
            </w:r>
            <w:r w:rsidR="00B4750B" w:rsidRPr="00287855">
              <w:rPr>
                <w:lang/>
              </w:rPr>
              <w:t xml:space="preserve">се </w:t>
            </w:r>
            <w:r w:rsidR="0059105C" w:rsidRPr="00287855">
              <w:t xml:space="preserve">упознају </w:t>
            </w:r>
            <w:r w:rsidR="00B4750B" w:rsidRPr="00287855">
              <w:rPr>
                <w:lang/>
              </w:rPr>
              <w:t xml:space="preserve">са </w:t>
            </w:r>
            <w:r w:rsidR="00B4750B" w:rsidRPr="00287855">
              <w:t>нек</w:t>
            </w:r>
            <w:r w:rsidR="00B4750B" w:rsidRPr="00287855">
              <w:rPr>
                <w:lang/>
              </w:rPr>
              <w:t>им</w:t>
            </w:r>
            <w:r w:rsidR="00B4750B" w:rsidRPr="00287855">
              <w:t xml:space="preserve"> аспе</w:t>
            </w:r>
            <w:r w:rsidR="00B4750B" w:rsidRPr="00287855">
              <w:rPr>
                <w:lang/>
              </w:rPr>
              <w:t>ктима</w:t>
            </w:r>
            <w:r w:rsidR="0059105C" w:rsidRPr="00287855">
              <w:t xml:space="preserve"> наставничког позива, </w:t>
            </w:r>
            <w:r w:rsidR="00B4750B" w:rsidRPr="00287855">
              <w:rPr>
                <w:lang/>
              </w:rPr>
              <w:t xml:space="preserve">затим да </w:t>
            </w:r>
            <w:r w:rsidR="0059105C" w:rsidRPr="00287855">
              <w:t>продубе и прошире своја знања, стекну извесна педагошко-психолошка и дидактичко-методичка искуства.</w:t>
            </w:r>
          </w:p>
          <w:p w:rsidR="00BF7E6C" w:rsidRPr="00287855" w:rsidRDefault="00BF7E6C" w:rsidP="0059105C">
            <w:pPr>
              <w:pStyle w:val="normal0"/>
              <w:jc w:val="both"/>
              <w:rPr>
                <w:color w:val="FF0000"/>
              </w:rPr>
            </w:pPr>
          </w:p>
          <w:p w:rsidR="00166D45" w:rsidRPr="00605F75" w:rsidRDefault="00166D45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BF7E6C" w:rsidTr="00BF7E6C">
        <w:trPr>
          <w:trHeight w:val="331"/>
          <w:jc w:val="center"/>
        </w:trPr>
        <w:tc>
          <w:tcPr>
            <w:tcW w:w="10103" w:type="dxa"/>
            <w:gridSpan w:val="3"/>
            <w:tcBorders>
              <w:top w:val="single" w:sz="4" w:space="0" w:color="auto"/>
            </w:tcBorders>
            <w:vAlign w:val="center"/>
          </w:tcPr>
          <w:p w:rsidR="00BF7E6C" w:rsidRPr="00287855" w:rsidRDefault="00BF7E6C" w:rsidP="00BF7E6C">
            <w:pPr>
              <w:pStyle w:val="normal0"/>
              <w:tabs>
                <w:tab w:val="left" w:pos="567"/>
              </w:tabs>
              <w:spacing w:after="60"/>
            </w:pPr>
            <w:r w:rsidRPr="00287855">
              <w:t>Литература:</w:t>
            </w:r>
          </w:p>
          <w:p w:rsidR="0042466E" w:rsidRPr="00287855" w:rsidRDefault="0042466E" w:rsidP="00BF7E6C">
            <w:pPr>
              <w:pStyle w:val="normal0"/>
              <w:tabs>
                <w:tab w:val="left" w:pos="567"/>
              </w:tabs>
              <w:spacing w:after="60"/>
            </w:pPr>
            <w:r w:rsidRPr="00287855">
              <w:t xml:space="preserve">1. </w:t>
            </w:r>
            <w:r w:rsidR="00087CB5" w:rsidRPr="00287855">
              <w:t xml:space="preserve">Трнавац, Н., Ђорђевић, Ј. (2005). </w:t>
            </w:r>
            <w:r w:rsidR="00087CB5" w:rsidRPr="00287855">
              <w:rPr>
                <w:i/>
              </w:rPr>
              <w:t>Педагогија</w:t>
            </w:r>
            <w:r w:rsidR="00087CB5" w:rsidRPr="00287855">
              <w:t xml:space="preserve">. Београд. Научна књига комерц. стр. </w:t>
            </w:r>
            <w:r w:rsidR="00F06922" w:rsidRPr="00287855">
              <w:t>229-295</w:t>
            </w:r>
          </w:p>
          <w:p w:rsidR="00586C90" w:rsidRPr="00287855" w:rsidRDefault="00586C90" w:rsidP="00BF7E6C">
            <w:pPr>
              <w:pStyle w:val="normal0"/>
              <w:tabs>
                <w:tab w:val="left" w:pos="567"/>
              </w:tabs>
              <w:spacing w:after="60"/>
            </w:pPr>
            <w:r w:rsidRPr="00287855">
              <w:t xml:space="preserve">2. Јањић, М., Максимовић, Ј., Ђигић, Г., Божић, С. (2014). </w:t>
            </w:r>
            <w:r w:rsidRPr="00287855">
              <w:rPr>
                <w:i/>
              </w:rPr>
              <w:t>Практикум за реализацију професионалне наставне праксе</w:t>
            </w:r>
            <w:r w:rsidRPr="00287855">
              <w:t xml:space="preserve">. Ниш. Филозофски факултет у Нишу. стр. </w:t>
            </w:r>
            <w:r w:rsidR="00746811" w:rsidRPr="00287855">
              <w:t>35-39</w:t>
            </w:r>
          </w:p>
          <w:p w:rsidR="00BF7E6C" w:rsidRPr="00287855" w:rsidRDefault="00E15116" w:rsidP="00BF7E6C">
            <w:pPr>
              <w:pStyle w:val="normal0"/>
              <w:tabs>
                <w:tab w:val="left" w:pos="567"/>
              </w:tabs>
              <w:spacing w:after="60"/>
              <w:rPr>
                <w:b/>
                <w:lang/>
              </w:rPr>
            </w:pPr>
            <w:r w:rsidRPr="00287855">
              <w:t>3</w:t>
            </w:r>
            <w:r w:rsidR="00BF7E6C" w:rsidRPr="00287855">
              <w:t xml:space="preserve">.  </w:t>
            </w:r>
            <w:r w:rsidR="0042466E" w:rsidRPr="00287855">
              <w:t xml:space="preserve">Маринковић, Ј. (2008). </w:t>
            </w:r>
            <w:r w:rsidR="0042466E" w:rsidRPr="00287855">
              <w:rPr>
                <w:i/>
              </w:rPr>
              <w:t>Учитељство као позив</w:t>
            </w:r>
            <w:r w:rsidR="0042466E" w:rsidRPr="00287855">
              <w:t>. Загреб. Крузак. стр. 133 -138</w:t>
            </w:r>
            <w:r w:rsidR="0042466E" w:rsidRPr="00287855">
              <w:rPr>
                <w:b/>
              </w:rPr>
              <w:t xml:space="preserve"> </w:t>
            </w:r>
          </w:p>
          <w:p w:rsidR="00EC2037" w:rsidRPr="00EC2037" w:rsidRDefault="00EC2037" w:rsidP="00BF7E6C">
            <w:pPr>
              <w:pStyle w:val="normal0"/>
              <w:tabs>
                <w:tab w:val="left" w:pos="567"/>
              </w:tabs>
              <w:spacing w:after="60"/>
              <w:rPr>
                <w:b/>
                <w:color w:val="FF0000"/>
                <w:lang/>
              </w:rPr>
            </w:pPr>
          </w:p>
        </w:tc>
      </w:tr>
      <w:tr w:rsidR="00166D45">
        <w:trPr>
          <w:trHeight w:val="227"/>
          <w:jc w:val="center"/>
        </w:trPr>
        <w:tc>
          <w:tcPr>
            <w:tcW w:w="3146" w:type="dxa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</w:t>
            </w:r>
          </w:p>
        </w:tc>
        <w:tc>
          <w:tcPr>
            <w:tcW w:w="3822" w:type="dxa"/>
            <w:vAlign w:val="center"/>
          </w:tcPr>
          <w:p w:rsidR="00166D45" w:rsidRDefault="00BE5F30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>
              <w:t>90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Pr="00287855" w:rsidRDefault="00BE5F30" w:rsidP="00287855">
            <w:pPr>
              <w:pStyle w:val="normal0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 w:rsidRPr="00287855">
              <w:rPr>
                <w:b/>
              </w:rPr>
              <w:t>Методе извођења наставе</w:t>
            </w:r>
          </w:p>
          <w:p w:rsidR="00166D45" w:rsidRPr="00287855" w:rsidRDefault="00BC7F4F" w:rsidP="00287855">
            <w:pPr>
              <w:pStyle w:val="normal0"/>
              <w:tabs>
                <w:tab w:val="left" w:pos="567"/>
              </w:tabs>
              <w:spacing w:after="60"/>
              <w:ind w:firstLine="567"/>
              <w:jc w:val="both"/>
            </w:pPr>
            <w:r w:rsidRPr="00287855">
              <w:rPr>
                <w:lang/>
              </w:rPr>
              <w:t xml:space="preserve">Током трајања педагошке праксе студент самостално прати и евалуира процес исте, након чега предметном наставнику у форми писаног извештаја износи запажања и стечене увиде из самог наставног процеса. </w:t>
            </w:r>
            <w:r w:rsidR="007B4408" w:rsidRPr="00287855">
              <w:rPr>
                <w:lang/>
              </w:rPr>
              <w:t>Садржајем је предвиђена и усмена анализа и консултатитвни рад са предметним професором.</w:t>
            </w:r>
          </w:p>
        </w:tc>
      </w:tr>
      <w:tr w:rsidR="00166D45">
        <w:trPr>
          <w:trHeight w:val="227"/>
          <w:jc w:val="center"/>
        </w:trPr>
        <w:tc>
          <w:tcPr>
            <w:tcW w:w="10103" w:type="dxa"/>
            <w:gridSpan w:val="3"/>
            <w:vAlign w:val="center"/>
          </w:tcPr>
          <w:p w:rsidR="00166D45" w:rsidRPr="00287855" w:rsidRDefault="00BE5F30" w:rsidP="00287855">
            <w:pPr>
              <w:pStyle w:val="normal0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 w:rsidRPr="00287855">
              <w:rPr>
                <w:b/>
              </w:rPr>
              <w:t xml:space="preserve">Оцена знања </w:t>
            </w:r>
          </w:p>
          <w:p w:rsidR="0038688E" w:rsidRPr="00287855" w:rsidRDefault="008F045E" w:rsidP="00287855">
            <w:pPr>
              <w:pStyle w:val="normal0"/>
              <w:tabs>
                <w:tab w:val="left" w:pos="567"/>
              </w:tabs>
              <w:spacing w:after="60"/>
              <w:ind w:firstLine="567"/>
              <w:jc w:val="both"/>
            </w:pPr>
            <w:r w:rsidRPr="00287855">
              <w:rPr>
                <w:lang/>
              </w:rPr>
              <w:t xml:space="preserve">Након похађања и обављања </w:t>
            </w:r>
            <w:r w:rsidR="0038688E" w:rsidRPr="00287855">
              <w:t xml:space="preserve"> педагошке праксе, успех студента </w:t>
            </w:r>
            <w:r w:rsidRPr="00287855">
              <w:rPr>
                <w:lang/>
              </w:rPr>
              <w:t xml:space="preserve">се </w:t>
            </w:r>
            <w:r w:rsidRPr="00287855">
              <w:t>не изражава</w:t>
            </w:r>
            <w:r w:rsidR="0038688E" w:rsidRPr="00287855">
              <w:t xml:space="preserve"> бројем поена, односно бројчаном оценом, већ се оцењује са „положио“ / „није положио“.</w:t>
            </w:r>
          </w:p>
        </w:tc>
      </w:tr>
    </w:tbl>
    <w:p w:rsidR="00166D45" w:rsidRDefault="00166D45">
      <w:pPr>
        <w:pStyle w:val="normal0"/>
        <w:jc w:val="center"/>
      </w:pPr>
    </w:p>
    <w:sectPr w:rsidR="00166D45" w:rsidSect="00166D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77E" w:rsidRDefault="002C077E" w:rsidP="00166D45">
      <w:r>
        <w:separator/>
      </w:r>
    </w:p>
  </w:endnote>
  <w:endnote w:type="continuationSeparator" w:id="0">
    <w:p w:rsidR="002C077E" w:rsidRDefault="002C077E" w:rsidP="00166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166D4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166D4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166D4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77E" w:rsidRDefault="002C077E" w:rsidP="00166D45">
      <w:r>
        <w:separator/>
      </w:r>
    </w:p>
  </w:footnote>
  <w:footnote w:type="continuationSeparator" w:id="0">
    <w:p w:rsidR="002C077E" w:rsidRDefault="002C077E" w:rsidP="00166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166D4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BE5F3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34"/>
      <w:gridCol w:w="6368"/>
      <w:gridCol w:w="1656"/>
    </w:tblGrid>
    <w:tr w:rsidR="00166D45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66D45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166D45" w:rsidRDefault="00166D4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166D45" w:rsidRDefault="00166D4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66D45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166D45" w:rsidRDefault="00166D4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166D45" w:rsidRDefault="00BE5F30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Oсновне академске студије филозофије</w:t>
          </w:r>
        </w:p>
      </w:tc>
      <w:tc>
        <w:tcPr>
          <w:tcW w:w="1656" w:type="dxa"/>
          <w:vMerge/>
          <w:vAlign w:val="center"/>
        </w:tcPr>
        <w:p w:rsidR="00166D45" w:rsidRDefault="00166D4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166D45" w:rsidRDefault="00BE5F30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D45" w:rsidRDefault="00166D4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D45"/>
    <w:rsid w:val="00037849"/>
    <w:rsid w:val="00087CB5"/>
    <w:rsid w:val="000E72A3"/>
    <w:rsid w:val="00166D45"/>
    <w:rsid w:val="002368B1"/>
    <w:rsid w:val="00287855"/>
    <w:rsid w:val="002C077E"/>
    <w:rsid w:val="0030794F"/>
    <w:rsid w:val="0038688E"/>
    <w:rsid w:val="0042466E"/>
    <w:rsid w:val="00444076"/>
    <w:rsid w:val="00586C90"/>
    <w:rsid w:val="0059105C"/>
    <w:rsid w:val="00605F75"/>
    <w:rsid w:val="00746811"/>
    <w:rsid w:val="007B4408"/>
    <w:rsid w:val="007C3B35"/>
    <w:rsid w:val="0084365C"/>
    <w:rsid w:val="008736E7"/>
    <w:rsid w:val="008D710D"/>
    <w:rsid w:val="008F045E"/>
    <w:rsid w:val="00AA452F"/>
    <w:rsid w:val="00B4750B"/>
    <w:rsid w:val="00BC7F4F"/>
    <w:rsid w:val="00BE5F30"/>
    <w:rsid w:val="00BF7E6C"/>
    <w:rsid w:val="00E15116"/>
    <w:rsid w:val="00EA0CFE"/>
    <w:rsid w:val="00EC2037"/>
    <w:rsid w:val="00EC2574"/>
    <w:rsid w:val="00F06922"/>
    <w:rsid w:val="00F7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849"/>
  </w:style>
  <w:style w:type="paragraph" w:styleId="Heading1">
    <w:name w:val="heading 1"/>
    <w:basedOn w:val="normal0"/>
    <w:next w:val="normal0"/>
    <w:rsid w:val="00166D45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166D4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66D4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66D4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66D4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166D45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66D45"/>
  </w:style>
  <w:style w:type="paragraph" w:styleId="Title">
    <w:name w:val="Title"/>
    <w:basedOn w:val="normal0"/>
    <w:next w:val="normal0"/>
    <w:rsid w:val="00166D4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166D4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66D4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66D4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0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C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</cp:lastModifiedBy>
  <cp:revision>18</cp:revision>
  <dcterms:created xsi:type="dcterms:W3CDTF">2023-09-20T14:02:00Z</dcterms:created>
  <dcterms:modified xsi:type="dcterms:W3CDTF">2023-09-20T15:57:00Z</dcterms:modified>
</cp:coreProperties>
</file>